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6A" w:rsidRPr="00F2436A" w:rsidRDefault="00F2436A" w:rsidP="00F2436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  <w:r w:rsidRPr="00F2436A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Приложение 4</w:t>
      </w:r>
    </w:p>
    <w:p w:rsidR="00F2436A" w:rsidRPr="00F2436A" w:rsidRDefault="00F2436A" w:rsidP="00F2436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  <w:r w:rsidRPr="00F2436A"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  <w:t>к Положению о комиссиях по поступлению и выбытию нефинансовых активов Национального исследовательского университета «Высшая школа экономики»</w:t>
      </w:r>
    </w:p>
    <w:p w:rsidR="00F2436A" w:rsidRPr="00F2436A" w:rsidRDefault="00F2436A" w:rsidP="00F2436A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6"/>
          <w:szCs w:val="26"/>
          <w:lang w:eastAsia="ru-RU"/>
        </w:rPr>
      </w:pPr>
    </w:p>
    <w:p w:rsidR="00F2436A" w:rsidRPr="00F2436A" w:rsidRDefault="00F2436A" w:rsidP="00F2436A">
      <w:pPr>
        <w:spacing w:after="0" w:line="288" w:lineRule="auto"/>
        <w:ind w:right="-141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F243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Национальный исследовательский университет «Высшая школа экономики» </w:t>
      </w:r>
    </w:p>
    <w:p w:rsidR="00F2436A" w:rsidRPr="00F2436A" w:rsidRDefault="00F2436A" w:rsidP="00F2436A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«УТВЕРЖДАЮ»</w:t>
      </w:r>
    </w:p>
    <w:p w:rsidR="00F2436A" w:rsidRPr="00F2436A" w:rsidRDefault="00F2436A" w:rsidP="00F2436A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2436A" w:rsidRPr="00F2436A" w:rsidRDefault="00F2436A" w:rsidP="00F2436A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Проректор НИУ ВШЭ</w:t>
      </w:r>
    </w:p>
    <w:p w:rsidR="00F2436A" w:rsidRPr="00F2436A" w:rsidRDefault="00F2436A" w:rsidP="00F2436A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  _____________________</w:t>
      </w:r>
    </w:p>
    <w:p w:rsidR="00F2436A" w:rsidRPr="00F2436A" w:rsidRDefault="00F2436A" w:rsidP="00F2436A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ru-RU"/>
        </w:rPr>
        <w:t>(</w:t>
      </w:r>
      <w:proofErr w:type="gramStart"/>
      <w:r w:rsidRPr="00F2436A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ru-RU"/>
        </w:rPr>
        <w:t xml:space="preserve">подпись)   </w:t>
      </w:r>
      <w:proofErr w:type="gramEnd"/>
      <w:r w:rsidRPr="00F2436A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ru-RU"/>
        </w:rPr>
        <w:t xml:space="preserve">           (инициалы, фамилия</w:t>
      </w:r>
      <w:r w:rsidRPr="00F2436A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F2436A" w:rsidRPr="00F2436A" w:rsidRDefault="00F2436A" w:rsidP="00F2436A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«_______» ________________ 20 ____ г.</w:t>
      </w:r>
    </w:p>
    <w:p w:rsidR="00F2436A" w:rsidRPr="00F2436A" w:rsidRDefault="00F2436A" w:rsidP="00F2436A">
      <w:pPr>
        <w:spacing w:after="0" w:line="288" w:lineRule="auto"/>
        <w:ind w:right="-14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2436A" w:rsidRPr="00F2436A" w:rsidRDefault="00F2436A" w:rsidP="00F2436A">
      <w:pPr>
        <w:spacing w:after="0" w:line="288" w:lineRule="auto"/>
        <w:ind w:right="-14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F243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Акт признания прав пользования активом</w:t>
      </w:r>
      <w:bookmarkEnd w:id="0"/>
      <w:r w:rsidRPr="00F243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№ ___</w:t>
      </w:r>
    </w:p>
    <w:p w:rsidR="00F2436A" w:rsidRPr="00F2436A" w:rsidRDefault="00F2436A" w:rsidP="00F2436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«_______» ________________ 20 ____ г.                                                                      г. Москва</w:t>
      </w:r>
    </w:p>
    <w:p w:rsidR="00F2436A" w:rsidRPr="00F2436A" w:rsidRDefault="00F2436A" w:rsidP="00F2436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F2436A" w:rsidRPr="00F2436A" w:rsidRDefault="00F2436A" w:rsidP="00F2436A">
      <w:pPr>
        <w:spacing w:after="0" w:line="288" w:lineRule="auto"/>
        <w:ind w:right="-141"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Комиссия, утвержденная приказом № ____________ от _____________, в составе: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877"/>
      </w:tblGrid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color w:val="000000" w:themeColor="text1"/>
                <w:sz w:val="24"/>
                <w:szCs w:val="24"/>
              </w:rPr>
              <w:t>Председатель Комиссии:</w:t>
            </w: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i/>
                <w:color w:val="000000" w:themeColor="text1"/>
                <w:sz w:val="16"/>
                <w:szCs w:val="16"/>
              </w:rPr>
            </w:pPr>
            <w:r w:rsidRPr="00F2436A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color w:val="000000" w:themeColor="text1"/>
                <w:sz w:val="24"/>
                <w:szCs w:val="24"/>
              </w:rPr>
              <w:t>Члены Комиссии:</w:t>
            </w: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F2436A" w:rsidRPr="00F2436A" w:rsidTr="00815A90">
        <w:trPr>
          <w:trHeight w:val="132"/>
        </w:trPr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(должность, фамилия, инициалы)</w:t>
            </w: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color w:val="000000" w:themeColor="text1"/>
                <w:sz w:val="24"/>
                <w:szCs w:val="24"/>
              </w:rPr>
              <w:t>Ответственное лицо</w:t>
            </w:r>
          </w:p>
        </w:tc>
        <w:tc>
          <w:tcPr>
            <w:tcW w:w="6877" w:type="dxa"/>
            <w:tcBorders>
              <w:bottom w:val="single" w:sz="4" w:space="0" w:color="auto"/>
            </w:tcBorders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F2436A">
              <w:rPr>
                <w:rFonts w:eastAsiaTheme="minorEastAsia"/>
                <w:color w:val="000000" w:themeColor="text1"/>
                <w:sz w:val="24"/>
                <w:szCs w:val="24"/>
              </w:rPr>
              <w:fldChar w:fldCharType="begin"/>
            </w:r>
            <w:r w:rsidRPr="00F2436A">
              <w:rPr>
                <w:rFonts w:eastAsiaTheme="minorEastAsia"/>
                <w:color w:val="000000" w:themeColor="text1"/>
                <w:sz w:val="24"/>
                <w:szCs w:val="24"/>
              </w:rPr>
              <w:instrText xml:space="preserve"> COMMENTS  \* Upper  \* MERGEFORMAT </w:instrText>
            </w:r>
            <w:r w:rsidRPr="00F2436A">
              <w:rPr>
                <w:rFonts w:eastAsiaTheme="minorEastAsia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F2436A" w:rsidRPr="00F2436A" w:rsidTr="00815A90">
        <w:tc>
          <w:tcPr>
            <w:tcW w:w="2904" w:type="dxa"/>
          </w:tcPr>
          <w:p w:rsidR="00F2436A" w:rsidRPr="00F2436A" w:rsidRDefault="00F2436A" w:rsidP="00F2436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877" w:type="dxa"/>
            <w:tcBorders>
              <w:top w:val="single" w:sz="4" w:space="0" w:color="auto"/>
            </w:tcBorders>
          </w:tcPr>
          <w:p w:rsidR="00F2436A" w:rsidRPr="00F2436A" w:rsidRDefault="00F2436A" w:rsidP="00F2436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F2436A">
              <w:rPr>
                <w:rFonts w:eastAsiaTheme="minorEastAsia"/>
                <w:i/>
                <w:color w:val="000000" w:themeColor="text1"/>
                <w:sz w:val="16"/>
                <w:szCs w:val="16"/>
              </w:rPr>
              <w:t>(фамилия, инициалы)</w:t>
            </w:r>
          </w:p>
        </w:tc>
      </w:tr>
    </w:tbl>
    <w:p w:rsidR="00F2436A" w:rsidRPr="00F2436A" w:rsidRDefault="00F2436A" w:rsidP="00F2436A">
      <w:pPr>
        <w:spacing w:after="0" w:line="288" w:lineRule="auto"/>
        <w:ind w:right="-14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436A" w:rsidRPr="00F2436A" w:rsidRDefault="00F2436A" w:rsidP="00F2436A">
      <w:pPr>
        <w:spacing w:after="0" w:line="288" w:lineRule="auto"/>
        <w:ind w:right="-141" w:firstLine="709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Комиссии представлены на рассмотрение документы по получению НИУ ВШЭ прав пользования объектами нефинансовыми активами в соответствии с условиями первичных документов: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F2436A" w:rsidRPr="00F2436A" w:rsidTr="00815A90">
        <w:trPr>
          <w:trHeight w:val="283"/>
        </w:trPr>
        <w:tc>
          <w:tcPr>
            <w:tcW w:w="3969" w:type="dxa"/>
            <w:vAlign w:val="center"/>
          </w:tcPr>
          <w:p w:rsidR="00F2436A" w:rsidRPr="00F2436A" w:rsidRDefault="00F2436A" w:rsidP="00F2436A">
            <w:pPr>
              <w:ind w:right="-142"/>
              <w:contextualSpacing/>
              <w:rPr>
                <w:rFonts w:eastAsiaTheme="minorEastAsia"/>
                <w:color w:val="000000" w:themeColor="text1"/>
                <w:shd w:val="clear" w:color="auto" w:fill="FFFFFF"/>
              </w:rPr>
            </w:pPr>
            <w:r w:rsidRPr="00F2436A">
              <w:rPr>
                <w:rFonts w:eastAsiaTheme="minorEastAsia"/>
                <w:color w:val="000000" w:themeColor="text1"/>
                <w:shd w:val="clear" w:color="auto" w:fill="FFFFFF"/>
              </w:rPr>
              <w:t>Правообладатель (арендодатель)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2436A" w:rsidRPr="00F2436A" w:rsidRDefault="00F2436A" w:rsidP="00F2436A">
            <w:pPr>
              <w:ind w:right="-142"/>
              <w:contextualSpacing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969" w:type="dxa"/>
            <w:vAlign w:val="center"/>
          </w:tcPr>
          <w:p w:rsidR="00F2436A" w:rsidRPr="00F2436A" w:rsidRDefault="00F2436A" w:rsidP="00F2436A">
            <w:pPr>
              <w:ind w:right="-142"/>
              <w:contextualSpacing/>
              <w:rPr>
                <w:rFonts w:eastAsiaTheme="minorEastAsia"/>
                <w:color w:val="000000" w:themeColor="text1"/>
                <w:shd w:val="clear" w:color="auto" w:fill="FFFFFF"/>
              </w:rPr>
            </w:pPr>
            <w:r w:rsidRPr="00F2436A">
              <w:rPr>
                <w:rFonts w:eastAsiaTheme="minorEastAsia"/>
                <w:color w:val="000000" w:themeColor="text1"/>
                <w:shd w:val="clear" w:color="auto" w:fill="FFFFFF"/>
              </w:rPr>
              <w:t>Реквизиты договора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ind w:right="-142"/>
              <w:contextualSpacing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969" w:type="dxa"/>
            <w:vAlign w:val="center"/>
          </w:tcPr>
          <w:p w:rsidR="00F2436A" w:rsidRPr="00F2436A" w:rsidRDefault="00F2436A" w:rsidP="00F2436A">
            <w:pPr>
              <w:ind w:right="-142"/>
              <w:contextualSpacing/>
              <w:rPr>
                <w:rFonts w:eastAsiaTheme="minorEastAsia"/>
                <w:color w:val="000000" w:themeColor="text1"/>
                <w:shd w:val="clear" w:color="auto" w:fill="FFFFFF"/>
              </w:rPr>
            </w:pPr>
            <w:r w:rsidRPr="00F2436A">
              <w:rPr>
                <w:rFonts w:eastAsiaTheme="minorEastAsia"/>
                <w:color w:val="000000" w:themeColor="text1"/>
                <w:shd w:val="clear" w:color="auto" w:fill="FFFFFF"/>
              </w:rPr>
              <w:t>Предмет договора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ind w:right="-142"/>
              <w:contextualSpacing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969" w:type="dxa"/>
            <w:vAlign w:val="center"/>
          </w:tcPr>
          <w:p w:rsidR="00F2436A" w:rsidRPr="00F2436A" w:rsidRDefault="00F2436A" w:rsidP="00F2436A">
            <w:pPr>
              <w:ind w:right="-142"/>
              <w:contextualSpacing/>
              <w:rPr>
                <w:rFonts w:eastAsiaTheme="minorEastAsia"/>
                <w:color w:val="000000" w:themeColor="text1"/>
                <w:shd w:val="clear" w:color="auto" w:fill="FFFFFF"/>
              </w:rPr>
            </w:pPr>
            <w:r w:rsidRPr="00F2436A">
              <w:rPr>
                <w:rFonts w:eastAsiaTheme="minorEastAsia"/>
                <w:color w:val="000000" w:themeColor="text1"/>
                <w:shd w:val="clear" w:color="auto" w:fill="FFFFFF"/>
              </w:rPr>
              <w:t>Стоимость договора, руб.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ind w:right="-142"/>
              <w:contextualSpacing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969" w:type="dxa"/>
            <w:vAlign w:val="center"/>
          </w:tcPr>
          <w:p w:rsidR="00F2436A" w:rsidRPr="00F2436A" w:rsidRDefault="00F2436A" w:rsidP="00F2436A">
            <w:pPr>
              <w:ind w:right="-142"/>
              <w:contextualSpacing/>
              <w:rPr>
                <w:rFonts w:eastAsiaTheme="minorEastAsia"/>
                <w:color w:val="000000" w:themeColor="text1"/>
                <w:shd w:val="clear" w:color="auto" w:fill="FFFFFF"/>
              </w:rPr>
            </w:pPr>
            <w:r w:rsidRPr="00F2436A">
              <w:rPr>
                <w:rFonts w:eastAsiaTheme="minorEastAsia"/>
                <w:color w:val="000000" w:themeColor="text1"/>
                <w:shd w:val="clear" w:color="auto" w:fill="FFFFFF"/>
              </w:rPr>
              <w:t>Срок предоставления прав пользования активом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ind w:right="-142"/>
              <w:contextualSpacing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969" w:type="dxa"/>
            <w:vAlign w:val="center"/>
          </w:tcPr>
          <w:p w:rsidR="00F2436A" w:rsidRPr="00F2436A" w:rsidRDefault="00F2436A" w:rsidP="00F2436A">
            <w:pPr>
              <w:ind w:right="-142"/>
              <w:contextualSpacing/>
              <w:rPr>
                <w:rFonts w:eastAsiaTheme="minorEastAsia"/>
                <w:color w:val="000000" w:themeColor="text1"/>
                <w:shd w:val="clear" w:color="auto" w:fill="FFFFFF"/>
              </w:rPr>
            </w:pPr>
            <w:r w:rsidRPr="00F2436A">
              <w:rPr>
                <w:rFonts w:eastAsiaTheme="minorEastAsia"/>
                <w:color w:val="000000" w:themeColor="text1"/>
                <w:shd w:val="clear" w:color="auto" w:fill="FFFFFF"/>
              </w:rPr>
              <w:t>Акт приема-передачи (при наличии)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ind w:right="-142"/>
              <w:contextualSpacing/>
              <w:jc w:val="center"/>
              <w:rPr>
                <w:rFonts w:eastAsiaTheme="minorEastAsia"/>
                <w:color w:val="000000" w:themeColor="text1"/>
                <w:shd w:val="clear" w:color="auto" w:fill="FFFFFF"/>
              </w:rPr>
            </w:pPr>
          </w:p>
        </w:tc>
      </w:tr>
    </w:tbl>
    <w:p w:rsidR="00F2436A" w:rsidRPr="00F2436A" w:rsidRDefault="00F2436A" w:rsidP="00F2436A">
      <w:pPr>
        <w:spacing w:after="0" w:line="288" w:lineRule="auto"/>
        <w:ind w:right="-141"/>
        <w:jc w:val="center"/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</w:pPr>
    </w:p>
    <w:p w:rsidR="00F2436A" w:rsidRPr="00F2436A" w:rsidRDefault="00F2436A" w:rsidP="00F2436A">
      <w:pPr>
        <w:spacing w:after="0" w:line="288" w:lineRule="auto"/>
        <w:ind w:right="-141" w:firstLine="709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>Рассмотрев представленные документы, а также пояснения Ответственного лица, Комиссия пришла к выводу, что объект нефинансовых активов подлежит признанию в бухгалтерском учете в составе группы нефинансовых активов, т.к. от его использования прогнозируется получение экономических выгод/полезного потенциала и первоначальная стоимость объекта надежда оценена.</w:t>
      </w:r>
    </w:p>
    <w:p w:rsidR="00F2436A" w:rsidRPr="00F2436A" w:rsidRDefault="00F2436A" w:rsidP="00F2436A">
      <w:pPr>
        <w:spacing w:after="0" w:line="288" w:lineRule="auto"/>
        <w:ind w:right="-141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Информация из отчета оценщика по определению справедливой стоимости актива:</w:t>
      </w:r>
      <w:r w:rsidRPr="00F2436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footnoteReference w:id="1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2169"/>
        <w:gridCol w:w="1631"/>
        <w:gridCol w:w="1815"/>
        <w:gridCol w:w="1898"/>
      </w:tblGrid>
      <w:tr w:rsidR="00F2436A" w:rsidRPr="00F2436A" w:rsidTr="00815A90">
        <w:tc>
          <w:tcPr>
            <w:tcW w:w="2263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87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2169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Справедливая стоимость, руб.</w:t>
            </w:r>
          </w:p>
        </w:tc>
        <w:tc>
          <w:tcPr>
            <w:tcW w:w="1631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Наименование контрагента</w:t>
            </w:r>
          </w:p>
        </w:tc>
        <w:tc>
          <w:tcPr>
            <w:tcW w:w="1815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Номер отчета</w:t>
            </w:r>
          </w:p>
        </w:tc>
        <w:tc>
          <w:tcPr>
            <w:tcW w:w="1898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Дата отчета</w:t>
            </w:r>
          </w:p>
        </w:tc>
      </w:tr>
      <w:tr w:rsidR="00F2436A" w:rsidRPr="00F2436A" w:rsidTr="00815A90">
        <w:tc>
          <w:tcPr>
            <w:tcW w:w="2263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2169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1631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1898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</w:tbl>
    <w:p w:rsidR="00F2436A" w:rsidRPr="00F2436A" w:rsidRDefault="00F2436A" w:rsidP="00F2436A">
      <w:pPr>
        <w:spacing w:after="0" w:line="288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из открытых источников по определению справедливой стоимости актива:</w:t>
      </w:r>
      <w:r w:rsidRPr="00F2436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footnoteReference w:id="2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4394"/>
        <w:gridCol w:w="6"/>
        <w:gridCol w:w="2687"/>
      </w:tblGrid>
      <w:tr w:rsidR="00F2436A" w:rsidRPr="00F2436A" w:rsidTr="00815A90">
        <w:trPr>
          <w:trHeight w:val="763"/>
        </w:trPr>
        <w:tc>
          <w:tcPr>
            <w:tcW w:w="2689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87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Наименование источника</w:t>
            </w:r>
          </w:p>
        </w:tc>
        <w:tc>
          <w:tcPr>
            <w:tcW w:w="4394" w:type="dxa"/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Наименование документа/</w:t>
            </w:r>
          </w:p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Адрес страницы в Интернете</w:t>
            </w:r>
          </w:p>
        </w:tc>
        <w:tc>
          <w:tcPr>
            <w:tcW w:w="2693" w:type="dxa"/>
            <w:gridSpan w:val="2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Стоимость, руб.</w:t>
            </w:r>
          </w:p>
        </w:tc>
      </w:tr>
      <w:tr w:rsidR="00F2436A" w:rsidRPr="00F2436A" w:rsidTr="00815A90">
        <w:trPr>
          <w:trHeight w:val="268"/>
        </w:trPr>
        <w:tc>
          <w:tcPr>
            <w:tcW w:w="2689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68"/>
        </w:trPr>
        <w:tc>
          <w:tcPr>
            <w:tcW w:w="2689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68"/>
        </w:trPr>
        <w:tc>
          <w:tcPr>
            <w:tcW w:w="2689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68"/>
        </w:trPr>
        <w:tc>
          <w:tcPr>
            <w:tcW w:w="7089" w:type="dxa"/>
            <w:gridSpan w:val="3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right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Итого справедливая стоимость:</w:t>
            </w:r>
          </w:p>
        </w:tc>
        <w:tc>
          <w:tcPr>
            <w:tcW w:w="2687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</w:tbl>
    <w:p w:rsidR="00F2436A" w:rsidRPr="00F2436A" w:rsidRDefault="00F2436A" w:rsidP="00F2436A">
      <w:pPr>
        <w:spacing w:after="0" w:line="288" w:lineRule="auto"/>
        <w:ind w:right="-141" w:firstLine="709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</w:pPr>
    </w:p>
    <w:p w:rsidR="00F2436A" w:rsidRPr="00F2436A" w:rsidRDefault="00F2436A" w:rsidP="00F2436A">
      <w:pPr>
        <w:spacing w:after="0" w:line="288" w:lineRule="auto"/>
        <w:ind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436A"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Сведения об </w:t>
      </w:r>
      <w:r w:rsidRPr="00F243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объекте</w:t>
      </w:r>
      <w:r w:rsidRPr="00F2436A">
        <w:rPr>
          <w:rFonts w:ascii="Times New Roman" w:eastAsiaTheme="minorEastAsia" w:hAnsi="Times New Roman" w:cs="Times New Roman"/>
          <w:color w:val="000000" w:themeColor="text1"/>
          <w:sz w:val="23"/>
          <w:szCs w:val="23"/>
          <w:shd w:val="clear" w:color="auto" w:fill="FFFFFF"/>
          <w:lang w:eastAsia="ru-RU"/>
        </w:rPr>
        <w:t xml:space="preserve"> нефинансовых активов для отражения в регистрах бухгалтерского учета: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6100"/>
      </w:tblGrid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Правообладатель (арендодатель)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  <w:r w:rsidRPr="00F2436A">
              <w:rPr>
                <w:rFonts w:eastAsiaTheme="minorHAnsi"/>
                <w:color w:val="000000" w:themeColor="text1"/>
              </w:rPr>
              <w:t>Договор (иное правовое основание прав пользования активом)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  <w:r w:rsidRPr="00F2436A">
              <w:rPr>
                <w:rFonts w:eastAsiaTheme="minorHAnsi"/>
                <w:color w:val="000000" w:themeColor="text1"/>
              </w:rPr>
              <w:t>Местонахождения актива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</w:rPr>
            </w:pPr>
            <w:r w:rsidRPr="00F2436A">
              <w:rPr>
                <w:rFonts w:eastAsiaTheme="minorHAnsi"/>
                <w:color w:val="000000" w:themeColor="text1"/>
              </w:rPr>
              <w:t>Ответственное лицо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Дата принятия к учету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Срок полезного использования, мес.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line="288" w:lineRule="auto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ind w:right="-141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Первоначальная стоимость, руб.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Счет учета прав пользования объектами нефинансовых активов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КФО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  <w:tr w:rsidR="00F2436A" w:rsidRPr="00F2436A" w:rsidTr="00815A90">
        <w:trPr>
          <w:trHeight w:val="283"/>
        </w:trPr>
        <w:tc>
          <w:tcPr>
            <w:tcW w:w="3681" w:type="dxa"/>
            <w:vAlign w:val="center"/>
          </w:tcPr>
          <w:p w:rsidR="00F2436A" w:rsidRPr="00F2436A" w:rsidRDefault="00F2436A" w:rsidP="00F2436A">
            <w:pPr>
              <w:spacing w:line="288" w:lineRule="auto"/>
              <w:rPr>
                <w:color w:val="000000" w:themeColor="text1"/>
              </w:rPr>
            </w:pPr>
            <w:r w:rsidRPr="00F2436A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</w:tcPr>
          <w:p w:rsidR="00F2436A" w:rsidRPr="00F2436A" w:rsidRDefault="00F2436A" w:rsidP="00F2436A">
            <w:pPr>
              <w:spacing w:line="288" w:lineRule="auto"/>
              <w:ind w:right="-141"/>
              <w:jc w:val="center"/>
              <w:rPr>
                <w:color w:val="000000" w:themeColor="text1"/>
              </w:rPr>
            </w:pPr>
          </w:p>
        </w:tc>
      </w:tr>
    </w:tbl>
    <w:p w:rsidR="00F2436A" w:rsidRPr="00F2436A" w:rsidRDefault="00F2436A" w:rsidP="00F2436A">
      <w:pPr>
        <w:spacing w:after="0" w:line="288" w:lineRule="auto"/>
        <w:ind w:right="-14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1559"/>
        <w:gridCol w:w="284"/>
        <w:gridCol w:w="3254"/>
      </w:tblGrid>
      <w:tr w:rsidR="00F2436A" w:rsidRPr="00F2436A" w:rsidTr="00815A90">
        <w:trPr>
          <w:trHeight w:val="559"/>
        </w:trPr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u w:val="single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</w:t>
            </w:r>
          </w:p>
        </w:tc>
      </w:tr>
      <w:tr w:rsidR="00F2436A" w:rsidRPr="00F2436A" w:rsidTr="00815A90">
        <w:trPr>
          <w:trHeight w:val="213"/>
        </w:trPr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  <w:tr w:rsidR="00F2436A" w:rsidRPr="00F2436A" w:rsidTr="00815A90">
        <w:trPr>
          <w:trHeight w:val="397"/>
        </w:trPr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after="0" w:line="240" w:lineRule="auto"/>
              <w:ind w:left="-114" w:right="59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F2436A" w:rsidRPr="00F2436A" w:rsidTr="00815A90"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val="en-US"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  <w:tr w:rsidR="00F2436A" w:rsidRPr="00F2436A" w:rsidTr="00815A90"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F2436A" w:rsidRPr="00F2436A" w:rsidTr="00815A90"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  <w:tr w:rsidR="00F2436A" w:rsidRPr="00F2436A" w:rsidTr="00815A90"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F2436A" w:rsidRPr="00F2436A" w:rsidTr="00815A90"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  <w:tr w:rsidR="00F2436A" w:rsidRPr="00F2436A" w:rsidTr="00815A90"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F2436A" w:rsidRPr="00F2436A" w:rsidTr="00815A90">
        <w:trPr>
          <w:trHeight w:val="202"/>
        </w:trPr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  <w:tr w:rsidR="00F2436A" w:rsidRPr="00F2436A" w:rsidTr="00815A90">
        <w:trPr>
          <w:trHeight w:val="202"/>
        </w:trPr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F2436A" w:rsidRPr="00F2436A" w:rsidTr="00815A90">
        <w:trPr>
          <w:trHeight w:val="202"/>
        </w:trPr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</w:tr>
      <w:tr w:rsidR="00F2436A" w:rsidRPr="00F2436A" w:rsidTr="00815A90">
        <w:trPr>
          <w:trHeight w:val="93"/>
        </w:trPr>
        <w:tc>
          <w:tcPr>
            <w:tcW w:w="3964" w:type="dxa"/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after="0" w:line="240" w:lineRule="auto"/>
              <w:ind w:left="-111" w:firstLin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:rsidR="00F2436A" w:rsidRPr="00F2436A" w:rsidRDefault="00F2436A" w:rsidP="00F2436A">
            <w:pPr>
              <w:spacing w:before="20" w:after="0"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2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B8783F" w:rsidRDefault="00B8783F"/>
    <w:sectPr w:rsidR="00B8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65" w:rsidRDefault="00811465" w:rsidP="00F2436A">
      <w:pPr>
        <w:spacing w:after="0" w:line="240" w:lineRule="auto"/>
      </w:pPr>
      <w:r>
        <w:separator/>
      </w:r>
    </w:p>
  </w:endnote>
  <w:endnote w:type="continuationSeparator" w:id="0">
    <w:p w:rsidR="00811465" w:rsidRDefault="00811465" w:rsidP="00F2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65" w:rsidRDefault="00811465" w:rsidP="00F2436A">
      <w:pPr>
        <w:spacing w:after="0" w:line="240" w:lineRule="auto"/>
      </w:pPr>
      <w:r>
        <w:separator/>
      </w:r>
    </w:p>
  </w:footnote>
  <w:footnote w:type="continuationSeparator" w:id="0">
    <w:p w:rsidR="00811465" w:rsidRDefault="00811465" w:rsidP="00F2436A">
      <w:pPr>
        <w:spacing w:after="0" w:line="240" w:lineRule="auto"/>
      </w:pPr>
      <w:r>
        <w:continuationSeparator/>
      </w:r>
    </w:p>
  </w:footnote>
  <w:footnote w:id="1">
    <w:p w:rsidR="00F2436A" w:rsidRPr="00844A8A" w:rsidRDefault="00F2436A" w:rsidP="00F2436A">
      <w:pPr>
        <w:pStyle w:val="a4"/>
        <w:jc w:val="both"/>
        <w:rPr>
          <w:rFonts w:ascii="Times New Roman" w:hAnsi="Times New Roman"/>
        </w:rPr>
      </w:pPr>
      <w:r w:rsidRPr="00844A8A">
        <w:rPr>
          <w:rStyle w:val="a6"/>
          <w:rFonts w:ascii="Times New Roman" w:hAnsi="Times New Roman"/>
        </w:rPr>
        <w:footnoteRef/>
      </w:r>
      <w:r w:rsidRPr="00844A8A">
        <w:rPr>
          <w:rFonts w:ascii="Times New Roman" w:hAnsi="Times New Roman"/>
        </w:rPr>
        <w:t xml:space="preserve"> Раздел «</w:t>
      </w:r>
      <w:r w:rsidRPr="00844A8A">
        <w:rPr>
          <w:rFonts w:ascii="Times New Roman" w:eastAsia="Times New Roman" w:hAnsi="Times New Roman"/>
          <w:color w:val="000000" w:themeColor="text1"/>
        </w:rPr>
        <w:t>Информация из отчета оценщика по определению справедливой стоимости актива</w:t>
      </w:r>
      <w:r w:rsidRPr="00844A8A">
        <w:rPr>
          <w:rFonts w:ascii="Times New Roman" w:hAnsi="Times New Roman"/>
        </w:rPr>
        <w:t>» включается в Акт в случае если справедливая стоимость актива, полученного безвозмездно, определяется на основании отчета оценщика</w:t>
      </w:r>
      <w:r>
        <w:rPr>
          <w:rFonts w:ascii="Times New Roman" w:hAnsi="Times New Roman"/>
        </w:rPr>
        <w:t>.</w:t>
      </w:r>
    </w:p>
  </w:footnote>
  <w:footnote w:id="2">
    <w:p w:rsidR="00F2436A" w:rsidRPr="00844A8A" w:rsidRDefault="00F2436A" w:rsidP="00F2436A">
      <w:pPr>
        <w:pStyle w:val="a4"/>
        <w:jc w:val="both"/>
        <w:rPr>
          <w:rFonts w:ascii="Times New Roman" w:hAnsi="Times New Roman"/>
        </w:rPr>
      </w:pPr>
      <w:r w:rsidRPr="00844A8A">
        <w:rPr>
          <w:rStyle w:val="a6"/>
          <w:rFonts w:ascii="Times New Roman" w:hAnsi="Times New Roman"/>
        </w:rPr>
        <w:footnoteRef/>
      </w:r>
      <w:r w:rsidRPr="00844A8A">
        <w:rPr>
          <w:rFonts w:ascii="Times New Roman" w:hAnsi="Times New Roman"/>
        </w:rPr>
        <w:t xml:space="preserve"> Раздел «</w:t>
      </w:r>
      <w:r w:rsidRPr="00844A8A">
        <w:rPr>
          <w:rFonts w:ascii="Times New Roman" w:eastAsia="Times New Roman" w:hAnsi="Times New Roman"/>
          <w:color w:val="000000" w:themeColor="text1"/>
        </w:rPr>
        <w:t>Информация из открытых источников по определению справедливой стоимости актива</w:t>
      </w:r>
      <w:r w:rsidRPr="00844A8A">
        <w:rPr>
          <w:rFonts w:ascii="Times New Roman" w:hAnsi="Times New Roman"/>
        </w:rPr>
        <w:t>» включается в Акт в случае если справедливая стоимость актива определяется на основании открытых источников о стоимости, действующей на дату принятия к учету актива, полученного безвозмездно, на данный или аналогичный вид актива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6A"/>
    <w:rsid w:val="00811465"/>
    <w:rsid w:val="00B8783F"/>
    <w:rsid w:val="00F2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4A2DD-886C-4318-9F7E-9F8457F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43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2436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24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Дарья Витальевна</dc:creator>
  <cp:keywords/>
  <dc:description/>
  <cp:lastModifiedBy>Шолохова Дарья Витальевна</cp:lastModifiedBy>
  <cp:revision>1</cp:revision>
  <dcterms:created xsi:type="dcterms:W3CDTF">2025-11-21T10:00:00Z</dcterms:created>
  <dcterms:modified xsi:type="dcterms:W3CDTF">2025-11-21T10:02:00Z</dcterms:modified>
</cp:coreProperties>
</file>